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89"/>
        <w:pBdr/>
        <w:spacing/>
        <w:ind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УГОВОР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89"/>
        <w:pBdr/>
        <w:spacing w:after="240" w:before="120"/>
        <w:ind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 поверљивости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120" w:before="12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spacing w:after="120" w:before="1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Закључен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у </w:t>
      </w:r>
      <w:permStart w:edGrp="everyone" w:id="754337614"/>
      <w:r>
        <w:rPr>
          <w:rFonts w:ascii="Arial" w:hAnsi="Arial" w:cs="Arial"/>
          <w:sz w:val="20"/>
          <w:szCs w:val="20"/>
          <w:lang w:val="sr-Cyrl-RS"/>
        </w:rPr>
        <w:t xml:space="preserve">______________</w:t>
      </w:r>
      <w:permEnd w:id="754337614"/>
      <w:r>
        <w:rPr>
          <w:rFonts w:ascii="Arial" w:hAnsi="Arial" w:cs="Arial"/>
          <w:sz w:val="20"/>
          <w:szCs w:val="20"/>
          <w:lang w:val="sr-Cyrl-RS"/>
        </w:rPr>
        <w:t xml:space="preserve">, дана </w:t>
      </w:r>
      <w:permStart w:edGrp="everyone" w:id="1890061812"/>
      <w:r>
        <w:rPr>
          <w:rFonts w:ascii="Arial" w:hAnsi="Arial" w:cs="Arial"/>
          <w:sz w:val="20"/>
          <w:szCs w:val="20"/>
          <w:lang w:val="sr-Cyrl-RS"/>
        </w:rPr>
        <w:t xml:space="preserve">______________</w:t>
      </w:r>
      <w:permEnd w:id="1890061812"/>
      <w:r>
        <w:rPr>
          <w:rFonts w:ascii="Arial" w:hAnsi="Arial" w:cs="Arial"/>
          <w:sz w:val="20"/>
          <w:szCs w:val="20"/>
          <w:lang w:val="sr-Latn-RS"/>
        </w:rPr>
        <w:t xml:space="preserve">  </w:t>
      </w:r>
      <w:r>
        <w:rPr>
          <w:rFonts w:ascii="Arial" w:hAnsi="Arial" w:cs="Arial"/>
          <w:sz w:val="20"/>
          <w:szCs w:val="20"/>
          <w:lang w:val="sr-Cyrl-RS"/>
        </w:rPr>
        <w:t xml:space="preserve">између: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120" w:before="120"/>
        <w:ind/>
        <w:jc w:val="both"/>
        <w:rPr>
          <w:rFonts w:ascii="Arial" w:hAnsi="Arial" w:cs="Arial"/>
          <w:bCs/>
          <w:sz w:val="20"/>
          <w:szCs w:val="20"/>
          <w:lang w:val="sr-Latn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1.</w:t>
      </w:r>
      <w:r>
        <w:rPr>
          <w:rFonts w:ascii="Arial" w:hAnsi="Arial" w:cs="Arial"/>
          <w:sz w:val="20"/>
          <w:szCs w:val="20"/>
          <w:lang w:val="sr-Cyrl-RS"/>
        </w:rPr>
        <w:t xml:space="preserve"> Друштва „НАФТАГАС - Технички сервиси“ д.о.о. Зрењанин, ул. Београдска, бр. 26, 23000 Зрењанин</w:t>
      </w:r>
      <w:r>
        <w:rPr>
          <w:rFonts w:ascii="Arial" w:hAnsi="Arial" w:cs="Arial"/>
          <w:sz w:val="20"/>
          <w:szCs w:val="20"/>
          <w:lang w:val="sr-Latn-RS"/>
        </w:rPr>
        <w:t xml:space="preserve">,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 ПИБ: </w:t>
      </w:r>
      <w:r>
        <w:rPr>
          <w:rFonts w:ascii="Arial" w:hAnsi="Arial" w:cs="Arial"/>
          <w:sz w:val="20"/>
          <w:szCs w:val="20"/>
          <w:lang w:val="sr-Cyrl-RS"/>
        </w:rPr>
        <w:t xml:space="preserve">107435919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, матични број: </w:t>
      </w:r>
      <w:r>
        <w:rPr>
          <w:rFonts w:ascii="Arial" w:hAnsi="Arial" w:cs="Arial"/>
          <w:sz w:val="20"/>
          <w:szCs w:val="20"/>
          <w:lang w:val="sr-Latn-RS"/>
        </w:rPr>
        <w:t xml:space="preserve">20801794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, 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коje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 заступа </w:t>
      </w:r>
      <w:permStart w:edGrp="everyone" w:id="1899051761"/>
      <w:r>
        <w:rPr>
          <w:rFonts w:ascii="Arial" w:hAnsi="Arial" w:eastAsia="Times New Roman" w:cs="Arial"/>
          <w:sz w:val="20"/>
          <w:szCs w:val="20"/>
          <w:lang w:val="sr-Cyrl-RS"/>
        </w:rPr>
        <w:t xml:space="preserve">${</w:t>
      </w:r>
      <w:r>
        <w:rPr>
          <w:rFonts w:ascii="Arial" w:hAnsi="Arial" w:eastAsia="Times New Roman" w:cs="Arial"/>
          <w:sz w:val="20"/>
          <w:szCs w:val="20"/>
          <w:lang w:val="sr-Cyrl-RS"/>
        </w:rPr>
        <w:t xml:space="preserve">zastupnik_nis_sve</w:t>
      </w:r>
      <w:r>
        <w:rPr>
          <w:rFonts w:ascii="Arial" w:hAnsi="Arial" w:eastAsia="Times New Roman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bCs/>
          <w:sz w:val="20"/>
          <w:szCs w:val="20"/>
          <w:lang w:val="sr-Latn-RS"/>
        </w:rPr>
        <w:t xml:space="preserve">_</w:t>
      </w:r>
      <w:permEnd w:id="1899051761"/>
      <w:r/>
      <w:r>
        <w:rPr>
          <w:rFonts w:ascii="Arial" w:hAnsi="Arial" w:cs="Arial"/>
          <w:bCs/>
          <w:sz w:val="20"/>
          <w:szCs w:val="20"/>
          <w:lang w:val="sr-Latn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2. </w:t>
      </w:r>
      <w:permStart w:edGrp="everyone" w:id="1704404446"/>
      <w:r>
        <w:rPr>
          <w:rFonts w:ascii="Arial" w:hAnsi="Arial" w:eastAsia="Times New Roman" w:cs="Arial"/>
          <w:sz w:val="20"/>
          <w:szCs w:val="20"/>
          <w:lang w:val="sr-Cyrl-RS"/>
        </w:rPr>
        <w:t xml:space="preserve">${</w:t>
      </w:r>
      <w:r>
        <w:rPr>
          <w:rFonts w:ascii="Arial" w:hAnsi="Arial" w:eastAsia="Times New Roman" w:cs="Arial"/>
          <w:sz w:val="20"/>
          <w:szCs w:val="20"/>
          <w:lang w:val="sr-Cyrl-RS"/>
        </w:rPr>
        <w:t xml:space="preserve">komitent_sve</w:t>
      </w:r>
      <w:r>
        <w:rPr>
          <w:rFonts w:ascii="Arial" w:hAnsi="Arial" w:eastAsia="Times New Roman" w:cs="Arial"/>
          <w:sz w:val="20"/>
          <w:szCs w:val="20"/>
          <w:lang w:val="sr-Cyrl-RS"/>
        </w:rPr>
        <w:t xml:space="preserve">}</w:t>
      </w:r>
      <w:permEnd w:id="1704404446"/>
      <w:r>
        <w:rPr>
          <w:rFonts w:ascii="Arial" w:hAnsi="Arial" w:cs="Arial"/>
          <w:sz w:val="20"/>
          <w:szCs w:val="20"/>
          <w:lang w:val="sr-Cyrl-RS"/>
        </w:rPr>
        <w:t xml:space="preserve">  (у даљем тексту: Комитент), кога заступа </w:t>
      </w:r>
      <w:permStart w:edGrp="everyone" w:id="472198307"/>
      <w:r>
        <w:rPr>
          <w:rFonts w:ascii="Arial" w:hAnsi="Arial" w:eastAsia="Times New Roman" w:cs="Arial"/>
          <w:sz w:val="20"/>
          <w:szCs w:val="20"/>
          <w:lang w:val="sr-Cyrl-RS"/>
        </w:rPr>
        <w:t xml:space="preserve">${</w:t>
      </w:r>
      <w:r>
        <w:rPr>
          <w:rFonts w:ascii="Arial" w:hAnsi="Arial" w:eastAsia="Times New Roman" w:cs="Arial"/>
          <w:sz w:val="20"/>
          <w:szCs w:val="20"/>
          <w:lang w:val="sr-Cyrl-RS"/>
        </w:rPr>
        <w:t xml:space="preserve">zastupnik_komitent_sve</w:t>
      </w:r>
      <w:r>
        <w:rPr>
          <w:rFonts w:ascii="Arial" w:hAnsi="Arial" w:eastAsia="Times New Roman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sr-Cyrl-RS"/>
        </w:rPr>
        <w:t xml:space="preserve">.</w:t>
      </w:r>
      <w:permEnd w:id="472198307"/>
      <w:r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8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</w:t>
      </w:r>
      <w:r>
        <w:rPr>
          <w:rFonts w:ascii="Arial" w:hAnsi="Arial" w:cs="Arial"/>
          <w:sz w:val="20"/>
          <w:szCs w:val="20"/>
          <w:lang w:val="sr-Cyrl-RS"/>
        </w:rPr>
        <w:t xml:space="preserve">даљем тексту са заједничким називом: „Стране“, појединачно: „Страна“, при чему  свака страна може бити и Давалац и Прималац података који представљају Пословну тајну и/или Поверљиве информације у смислу овог уговора о поверљивости  (у даљем тексту „Уговор“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или „Уговор о поверљивости“):</w:t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spacing w:after="80" w:before="8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:</w:t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spacing w:after="80" w:before="8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су сагласне да у склопу заједничких пословних активности, укључујући, али не ограничавајући се на промотивне, консултантске, пред-уговорне, уговорне и после-уговорне</w:t>
      </w:r>
      <w:r>
        <w:rPr>
          <w:rFonts w:ascii="Arial" w:hAnsi="Arial" w:cs="Arial"/>
          <w:sz w:val="20"/>
          <w:szCs w:val="20"/>
          <w:lang w:val="sr-Cyrl-RS"/>
        </w:rPr>
        <w:t xml:space="preserve"> активности  (у даљем тексту: Пословне активности),  омогуће приступ и  размену података који представљају Пословну тајну и/или Поверљиве информације, те да штите њихову поверљивост на начин и под условима утврђеним Уговором и прописима Републике Србије.  </w:t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2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Термини и изрази који се користе у овом Уговору имају следеће значење: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Поверљивост података – </w:t>
      </w:r>
      <w:r>
        <w:rPr>
          <w:rFonts w:ascii="Arial" w:hAnsi="Arial" w:cs="Arial"/>
          <w:sz w:val="20"/>
          <w:szCs w:val="20"/>
          <w:lang w:val="sr-Cyrl-RS"/>
        </w:rPr>
        <w:t xml:space="preserve">својство које значи да податак није доступан неовлашћеним лицима.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Пословна тајна -</w:t>
      </w:r>
      <w:r>
        <w:rPr>
          <w:rFonts w:ascii="Arial" w:hAnsi="Arial" w:cs="Arial"/>
          <w:sz w:val="20"/>
          <w:szCs w:val="20"/>
          <w:lang w:val="sr-Cyrl-RS"/>
        </w:rPr>
        <w:t xml:space="preserve"> јесте било која информација која има комерцијалну вредност зато што није опште позната, нити је доступна трећим лицима која би њеним коришћењем или саопштавањем могла остварити економску корист, и која </w:t>
      </w:r>
      <w:r>
        <w:rPr>
          <w:rFonts w:ascii="Arial" w:hAnsi="Arial" w:cs="Arial"/>
          <w:sz w:val="20"/>
          <w:szCs w:val="20"/>
          <w:lang w:val="sr-Cyrl-RS"/>
        </w:rPr>
        <w:t xml:space="preserve">је од стране Даваоца заштићена одговарајућим мерама у складу са законом, пословном политиком, уговорним обавезама или одговарајућим стандардима, у циљу очувања њене поверљивости, а чије би саопштавање трећем лицу могло нанети штету Даваоцу пословне тајне.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Пословном тајном, сматрају се и: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86"/>
        <w:numPr>
          <w:ilvl w:val="0"/>
          <w:numId w:val="1"/>
        </w:num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подаци који се на основу посебног закона, другог прописа или акта издатог од стране  надлежног Органа сматрају Пословном тајном (у овом тексту, Орган означ</w:t>
      </w:r>
      <w:r>
        <w:rPr>
          <w:rFonts w:ascii="Arial" w:hAnsi="Arial" w:cs="Arial"/>
          <w:sz w:val="20"/>
          <w:szCs w:val="20"/>
          <w:lang w:val="sr-Cyrl-RS"/>
        </w:rPr>
        <w:t xml:space="preserve">ава било које релевантно управно,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и/или Пословних активности).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Поверљиве информациј</w:t>
      </w:r>
      <w:r>
        <w:rPr>
          <w:rFonts w:ascii="Arial" w:hAnsi="Arial" w:cs="Arial"/>
          <w:sz w:val="20"/>
          <w:szCs w:val="20"/>
          <w:lang w:val="sr-Cyrl-RS"/>
        </w:rPr>
        <w:t xml:space="preserve">е – чине подаци и документи који не представљају Пословну тајну, али из чије садржине, природе, порекла, сврхе и/или намене произилази да представљају поверљиве информације, чије чување јесте у интересу Даваоца, тј. чије обелодањивање и/или саопштавање од </w:t>
      </w:r>
      <w:r>
        <w:rPr>
          <w:rFonts w:ascii="Arial" w:hAnsi="Arial" w:cs="Arial"/>
          <w:sz w:val="20"/>
          <w:szCs w:val="20"/>
          <w:lang w:val="sr-Cyrl-RS"/>
        </w:rPr>
        <w:t xml:space="preserve">стране лица у чијем су поседу било ком другом лицу, штети или може шкодити тј. нанети штету Даваоцу, било непосредно или посредно. У Поверљиве информације спадају и они подаци и документи које као такве изричито одреди Давалац.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Носачи информација </w:t>
      </w:r>
      <w:r>
        <w:rPr>
          <w:rFonts w:ascii="Arial" w:hAnsi="Arial" w:cs="Arial"/>
          <w:sz w:val="20"/>
          <w:szCs w:val="20"/>
          <w:lang w:val="sr-Cyrl-RS"/>
        </w:rPr>
        <w:t xml:space="preserve">–  су материјални и електронски медији, глас-говор, сигнали, физичко поље и информационе базе података у којима су садржани или преко којих се преносe подаци који представљају Пословну тајну и/или Поверљиве информације.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1"/>
        <w:pBdr/>
        <w:spacing w:after="80" w:before="100" w:line="240" w:lineRule="auto"/>
        <w:ind w:firstLine="0"/>
        <w:jc w:val="both"/>
        <w:rPr>
          <w:rFonts w:eastAsia="Calibri" w:cs="Arial"/>
          <w:sz w:val="20"/>
          <w:lang w:val="sr-Cyrl-RS"/>
        </w:rPr>
      </w:pPr>
      <w:r>
        <w:rPr>
          <w:rFonts w:eastAsia="Calibri" w:cs="Arial"/>
          <w:b/>
          <w:sz w:val="20"/>
          <w:lang w:val="sr-Cyrl-RS"/>
        </w:rPr>
        <w:t xml:space="preserve">Ознаке поверљивости</w:t>
      </w:r>
      <w:r>
        <w:rPr>
          <w:rFonts w:eastAsia="Calibri" w:cs="Arial"/>
          <w:b/>
          <w:sz w:val="20"/>
          <w:lang w:val="sr-Latn-RS"/>
        </w:rPr>
        <w:t xml:space="preserve"> </w:t>
      </w:r>
      <w:r>
        <w:rPr>
          <w:rFonts w:eastAsia="Calibri" w:cs="Arial"/>
          <w:sz w:val="20"/>
          <w:lang w:val="sr-Cyrl-RS"/>
        </w:rPr>
        <w:t xml:space="preserve">– реквизити (ознаке и описи), који сведоче о поверљивости података садржаних на носачу информација, а који се стављају на сам носач и (или) на његову пратећу документацију.</w:t>
      </w:r>
      <w:r>
        <w:rPr>
          <w:rFonts w:eastAsia="Calibri" w:cs="Arial"/>
          <w:sz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Давалац</w:t>
      </w:r>
      <w:r>
        <w:rPr>
          <w:rFonts w:ascii="Arial" w:hAnsi="Arial" w:cs="Arial"/>
          <w:sz w:val="20"/>
          <w:szCs w:val="20"/>
          <w:lang w:val="sr-Cyrl-RS"/>
        </w:rPr>
        <w:t xml:space="preserve"> – Страна која на основу закона контролише коришћење податка који представљају Пословну тајну и/или Поверљиве информације, односно страна која Примаоцу открива, односно предаје податке који представљају Пословну тајну и/или Поверљиве информације.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Прималац</w:t>
      </w:r>
      <w:r>
        <w:rPr>
          <w:rFonts w:ascii="Arial" w:hAnsi="Arial" w:cs="Arial"/>
          <w:sz w:val="20"/>
          <w:szCs w:val="20"/>
          <w:lang w:val="sr-Cyrl-RS"/>
        </w:rPr>
        <w:t xml:space="preserve"> – Страна којој Давалац открива податке који представљају Послов</w:t>
      </w:r>
      <w:r>
        <w:rPr>
          <w:rFonts w:ascii="Arial" w:hAnsi="Arial" w:cs="Arial"/>
          <w:sz w:val="20"/>
          <w:szCs w:val="20"/>
          <w:lang w:val="sr-Cyrl-RS"/>
        </w:rPr>
        <w:t xml:space="preserve">ну тајну и/или Поверљиве информације, односно Страна која од Даваоца прибавља податке који представљају Пословну тајну и/или Поверљиве информације, те прибављањем истих постаје корисник  податка који представљају Пословну тајну и/или Поверљиве информације.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Повезано лице</w:t>
      </w:r>
      <w:r>
        <w:rPr>
          <w:rFonts w:ascii="Arial" w:hAnsi="Arial" w:cs="Arial"/>
          <w:sz w:val="20"/>
          <w:szCs w:val="20"/>
          <w:lang w:val="sr-Cyrl-RS"/>
        </w:rPr>
        <w:t xml:space="preserve"> – правно лице у којем једна од Страна поседује значајно учешће у капиталу или је правно лице у којем је једна од Страна контролни члан друштва или правно лице које је заједно са једном од Страна под контролом-трећег лица</w:t>
      </w:r>
      <w:r>
        <w:rPr>
          <w:rFonts w:ascii="Arial" w:hAnsi="Arial" w:cs="Arial"/>
          <w:sz w:val="20"/>
          <w:szCs w:val="20"/>
          <w:lang w:val="sr-Latn-RS"/>
        </w:rPr>
        <w:t xml:space="preserve">.</w:t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Style w:val="986"/>
        <w:numPr>
          <w:ilvl w:val="0"/>
          <w:numId w:val="4"/>
        </w:num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Контрола подразумева право и</w:t>
      </w:r>
      <w:r>
        <w:rPr>
          <w:rFonts w:ascii="Arial" w:hAnsi="Arial" w:cs="Arial"/>
          <w:sz w:val="20"/>
          <w:szCs w:val="20"/>
          <w:lang w:val="sr-Cyrl-RS"/>
        </w:rPr>
        <w:t xml:space="preserve">ли могућност једног лица, самостално или са другим лицима која са њим заједнички делују, да врши контролни утицај на пословање другог лица путем учешћа у основном капиталу, уговора или права на именовање већине директора, односно чланова надзорног одбора.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Овлашћена лица</w:t>
      </w:r>
      <w:r>
        <w:rPr>
          <w:rFonts w:ascii="Arial" w:hAnsi="Arial" w:cs="Arial"/>
          <w:sz w:val="20"/>
          <w:szCs w:val="20"/>
          <w:lang w:val="sr-Cyrl-RS"/>
        </w:rPr>
        <w:t xml:space="preserve"> – под овлашћеним лицима сматрају се следећа лица: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- запослени, радно ангажована лица, службеници и директори Страна;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firstLine="708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 запослени, радно ангажована лица, службеници и директори Повезаног лица</w:t>
      </w:r>
      <w:r>
        <w:rPr>
          <w:rFonts w:ascii="Arial" w:hAnsi="Arial" w:cs="Arial"/>
          <w:sz w:val="20"/>
          <w:szCs w:val="20"/>
          <w:lang w:val="sr-Latn-RS"/>
        </w:rPr>
        <w:t xml:space="preserve">;</w:t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spacing w:after="80" w:before="10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консултанти, адвокати, ревизори или агенти које је ангажовала једна од Страна и/или Повезано лице;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овлашћена лица банака или других финансијских институција.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Податак о личности</w:t>
      </w:r>
      <w:r>
        <w:rPr>
          <w:rFonts w:ascii="Arial" w:hAnsi="Arial" w:cs="Arial"/>
          <w:sz w:val="20"/>
          <w:szCs w:val="20"/>
          <w:lang w:val="sr-Cyrl-RS"/>
        </w:rPr>
        <w:t xml:space="preserve"> - сваки податак који се односи на физичко лице чији је идентитет одређен или одредив, непосредно или посредно, посебно на основу ознаке</w:t>
      </w:r>
      <w:r>
        <w:rPr>
          <w:rFonts w:ascii="Arial" w:hAnsi="Arial" w:cs="Arial"/>
          <w:sz w:val="20"/>
          <w:szCs w:val="20"/>
          <w:lang w:val="sr-Cyrl-RS"/>
        </w:rPr>
        <w:t xml:space="preserve"> идентитета, као што је име и идентификациони број, податак о локацији, идентификатор у електронским комуникационим мрежама или једно, односно више обележја његовог физичког, физиолошког, генетског, менталног, економског, културног и друштвеног идентитета.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3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преузима на себе обавезу да штити податке који представљају Пословну тајну и/или Поверљиве информације Даваоца у истој мери као и сопствене, уз предузимање разумних мера за очување њихове поверљивости.</w:t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4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се обаве</w:t>
      </w:r>
      <w:r>
        <w:rPr>
          <w:rFonts w:ascii="Arial" w:hAnsi="Arial" w:cs="Arial"/>
          <w:sz w:val="20"/>
          <w:szCs w:val="20"/>
          <w:lang w:val="sr-Cyrl-RS"/>
        </w:rPr>
        <w:t xml:space="preserve">зује да чува податке који представљају Пословну тајну и/или Поверљиве информације Даваоца које сазна или прими преко било ког Носача информација, да не врши продају, размену, објављивање, односно  достављање података који представљају Пословну тајну и/или </w:t>
      </w:r>
      <w:r>
        <w:rPr>
          <w:rFonts w:ascii="Arial" w:hAnsi="Arial" w:cs="Arial"/>
          <w:sz w:val="20"/>
          <w:szCs w:val="20"/>
          <w:lang w:val="sr-Cyrl-RS"/>
        </w:rPr>
        <w:t xml:space="preserve">Поверљиве информације Даваоца трећим лицима на било који  начин, без претходне писане сагласности Даваоца.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Обавеза прибављања претходне писане сагласности, ближе описана првим ставом овог члана не постоји у следећим случајевима: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а)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када се од Примаоца захтева потпуно или делимично достављање податак</w:t>
      </w:r>
      <w:r>
        <w:rPr>
          <w:rFonts w:ascii="Arial" w:hAnsi="Arial" w:cs="Arial"/>
          <w:sz w:val="20"/>
          <w:szCs w:val="20"/>
          <w:lang w:val="sr-Cyrl-RS"/>
        </w:rPr>
        <w:t xml:space="preserve">а који представљају Пословну тајну и/или Поверљиве информације Даваоца надлежним органима власти или када је достављање података који представљају Пословну тајну и/или Поверљиве информације Даваоца надлежним органима власти неопходно ради испуњења законски</w:t>
      </w:r>
      <w:r>
        <w:rPr>
          <w:rFonts w:ascii="Arial" w:hAnsi="Arial" w:cs="Arial"/>
          <w:sz w:val="20"/>
          <w:szCs w:val="20"/>
          <w:lang w:val="sr-Cyrl-RS"/>
        </w:rPr>
        <w:t xml:space="preserve">х обавеза Примаоца, у складу с важећим законодавством, судском одлуком или актом државног органа, уз услов да се достављају само захтевани делови података који представљају Пословну тајну и/или Поверљиве информације и/или појединачно захтевани подаци који </w:t>
      </w:r>
      <w:r>
        <w:rPr>
          <w:rFonts w:ascii="Arial" w:hAnsi="Arial" w:cs="Arial"/>
          <w:sz w:val="20"/>
          <w:szCs w:val="20"/>
          <w:lang w:val="sr-Cyrl-RS"/>
        </w:rPr>
        <w:t xml:space="preserve">представљају Пословну тајну и/или Поверљиве информације, као и уз обавезу Примаоца да о томе обавести Даваоца писаним путем на одговарајући начин, осим у случају да постоји изричит писани налог државног органа да се о обавези достављања не обавести Страна;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б)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кад Прималац  доставља податке који представљају Пословну тајну и/или Поверљиве информације Даваоца овлашћеним л</w:t>
      </w:r>
      <w:r>
        <w:rPr>
          <w:rFonts w:ascii="Arial" w:hAnsi="Arial" w:cs="Arial"/>
          <w:sz w:val="20"/>
          <w:szCs w:val="20"/>
          <w:lang w:val="sr-Cyrl-RS"/>
        </w:rPr>
        <w:t xml:space="preserve">ицима, ближе дефинисаним чланом 2 овог Уговора, у оној мери у којој је то неопходно ради обављања њихових послова и задатака, а у циљу испуњавања обавеза Примаоца према Даваоцу и уз услов да Прималац са истима има закључене уговоре о поверљивости који нису</w:t>
      </w:r>
      <w:r>
        <w:rPr>
          <w:rFonts w:ascii="Arial" w:hAnsi="Arial" w:cs="Arial"/>
          <w:sz w:val="20"/>
          <w:szCs w:val="20"/>
          <w:lang w:val="sr-Cyrl-RS"/>
        </w:rPr>
        <w:t xml:space="preserve"> ништа мање строги од овог Уговора или да та лица имају професионалну обавезу, односно одговарајућим прописом дефинисану обавезу чувања поверљивости података. И у датом случају, Прималац остаје одговоран за поштовање одредаба овог Уговора о поверљивости;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в)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кад Прималац доставља податке који представљају Пословну тајну и/или Поверљиве информације Даваоца правним </w:t>
      </w:r>
      <w:r>
        <w:rPr>
          <w:rFonts w:ascii="Arial" w:hAnsi="Arial" w:cs="Arial"/>
          <w:sz w:val="20"/>
          <w:szCs w:val="20"/>
          <w:lang w:val="sr-Cyrl-RS"/>
        </w:rPr>
        <w:t xml:space="preserve">лицима која се сматрају његовим Повезаним лицима, ближе дефинисаним чланом 2 овог Уговора,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120" w:before="120"/>
        <w:ind w:right="69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нема никакве обавезе у погледу података који представљају Пословну тајну и/или Поверљиве информације: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а)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у тренутку њиховог откривања од стране Даваоца већ познати Примаоцу;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б)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у тренутку њиховог откривања Примаоцу већ јавно објављени или су на други начин постали доступни јавности, искључујући било које откривање од стране Примаоца на начин супротан овом Уговору;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в)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за које Прималац може да докаже да су му били познати пре потписивања овог Уговора, из извора који не припада Даваоцу;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г)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које Прималац прибави на законит начин од трећих лица, која их нису добила уз обавезу чувања поверљивости,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д)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које Прималац независно развије без позивања на податке који представљају Пословну тајну и/или Поверљиве информације обелодањене у складу са овим Уговором,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ђ)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одобрени за обелодањивање на основу претходног писаног овлашћења Даваоца.  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tabs>
          <w:tab w:val="left" w:leader="none" w:pos="360"/>
        </w:tabs>
        <w:spacing w:after="80" w:before="100"/>
        <w:ind w:firstLine="533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5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tabs>
          <w:tab w:val="left" w:leader="none" w:pos="360"/>
        </w:tabs>
        <w:spacing w:after="80" w:before="100"/>
        <w:ind w:firstLine="533"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87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се обавезују да ће податке који представљају Пословну тајну и/или Поверљ</w:t>
      </w:r>
      <w:r>
        <w:rPr>
          <w:rFonts w:ascii="Arial" w:hAnsi="Arial" w:cs="Arial"/>
          <w:sz w:val="20"/>
          <w:szCs w:val="20"/>
          <w:lang w:val="sr-Cyrl-RS"/>
        </w:rPr>
        <w:t xml:space="preserve">иве информације, када се они размењују преко незаштићених веза (факс, ИНТЕРНЕТ, и слично), размењивати само уз примену узајамно прихватљивих метода криптовања, комбинованих са одговарајућим поступцима, који заједно обезбеђују очување поверљивости података.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87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Обавеза ближе описана ставом 1 овог члана односи се на све поступке откривања података који представљају Пословну тајну и/или Поверљиве информације, укључујући и ра</w:t>
      </w:r>
      <w:r>
        <w:rPr>
          <w:rFonts w:ascii="Arial" w:hAnsi="Arial" w:cs="Arial"/>
          <w:sz w:val="20"/>
          <w:szCs w:val="20"/>
          <w:lang w:val="sr-Cyrl-RS"/>
        </w:rPr>
        <w:t xml:space="preserve">змену података који представљају Пословну тајну и/или Поверљиве информације између Страна и Повезаних лица, овлашћених лица, као и свих других лица која у складу са овим Уговором користе податке који представљају Пословну тајну и/или Поверљиве информације.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87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6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Свака од Страна је обавезна да одреди: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86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име и презиме лица задужених за размену података који представљају Пословну тајну и/или Поверљиве информације (у даљем тексту: Задужено лице),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86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поштанску адресу за размену докумената у папирном облику, кад се подаци размењују у папирном облику</w:t>
      </w:r>
      <w:r>
        <w:rPr>
          <w:rFonts w:ascii="Arial" w:hAnsi="Arial" w:cs="Arial"/>
          <w:sz w:val="20"/>
          <w:szCs w:val="20"/>
          <w:lang w:val="sr-Latn-RS"/>
        </w:rPr>
        <w:t xml:space="preserve">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86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адресу електронске поште за размену електронских докумената, у ситуацији кад се подаци достављају посредством ИНТЕРНЕТ-а</w:t>
      </w:r>
      <w:r>
        <w:rPr>
          <w:rFonts w:ascii="Arial" w:hAnsi="Arial" w:cs="Arial"/>
          <w:sz w:val="20"/>
          <w:szCs w:val="20"/>
          <w:lang w:val="sr-Latn-RS"/>
        </w:rPr>
        <w:t xml:space="preserve">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као и да о томе обавести другу Страну, писаним документом који је потписан од стране одговорног лица Стране која шаље документ са подацима који представљају Пословну тајну и/или Поверљиве информације.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Размена података који представљају Пословну тајну и/или Поверљиве информације не може почети пре испуњења обавеза из претходног става.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Носаче информација који носе ознаку поверљивости, Стране предају једна другој, уз пропратно писмо или према записнику о примопредаји који потписују Задужена лица Страна.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Подаци који представљају Пословну тајну и/или Поверљиве информације које се на Носачима информација налазе у електронском облику достављају се у криптованом формату, уз испуњење предуслова из претходног става овог члана.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Сва обав</w:t>
      </w:r>
      <w:r>
        <w:rPr>
          <w:rFonts w:ascii="Arial" w:hAnsi="Arial" w:cs="Arial"/>
          <w:sz w:val="20"/>
          <w:szCs w:val="20"/>
          <w:lang w:val="sr-Cyrl-RS"/>
        </w:rPr>
        <w:t xml:space="preserve">ештења, захтеви и друга преписка у току важења овог Уговора, врши се у писаној форми, и то: препорученом поштом са повратницом или директном доставом на адресу Стране или путем електронске поште на контакте који су утврђени у складу са ставом 1 овог члана.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7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Уколико је примопредаја података који представљају Пословну тајну и/ил</w:t>
      </w:r>
      <w:r>
        <w:rPr>
          <w:rFonts w:ascii="Arial" w:hAnsi="Arial" w:cs="Arial"/>
          <w:sz w:val="20"/>
          <w:szCs w:val="20"/>
          <w:lang w:val="sr-Cyrl-RS"/>
        </w:rPr>
        <w:t xml:space="preserve">и Поверљиве информације обављена коришћењем електронске поште, Прималац је обавезан да одмах након пријема поруке са приложеним подацима који представљају Пословну тајну и/или Поверљиве информације, пошаље поруку Даваоцу са потврдом да је порука примљена.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 w:line="288" w:lineRule="auto"/>
        <w:ind/>
        <w:jc w:val="both"/>
        <w:rPr>
          <w:rFonts w:ascii="Arial" w:hAnsi="Arial" w:eastAsia="Calibri" w:cs="Arial"/>
          <w:sz w:val="20"/>
          <w:szCs w:val="20"/>
          <w:lang w:val="sr-Cyrl-RS" w:eastAsia="ru-RU"/>
        </w:rPr>
      </w:pP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Уколико Задужено лице Даваоца не п</w:t>
      </w: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рими потврду о пријему поруке са приложеним подацима који представљају Пословну тајну и/или Поверљиве информације у року од два радна дана, рачунајући у овај рок и дан када је порука  послата,  обавезан је да обустави даље слање података и да заједно са Пр</w:t>
      </w: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имаоцем утврди разлоге кашњења потврде. Слање података који представљају Пословну тајну и/или Поверљиве информације се може наставити кад и уколико Стране заједнички утврде да поверљивост података није нарушена, као и да нису нарушене одредбе овог Уговора.</w:t>
      </w:r>
      <w:r>
        <w:rPr>
          <w:rFonts w:ascii="Arial" w:hAnsi="Arial" w:eastAsia="Calibri" w:cs="Arial"/>
          <w:sz w:val="20"/>
          <w:szCs w:val="20"/>
          <w:lang w:val="sr-Cyrl-RS" w:eastAsia="ru-RU"/>
        </w:rPr>
      </w:r>
    </w:p>
    <w:p>
      <w:pPr>
        <w:pStyle w:val="990"/>
        <w:pBdr/>
        <w:spacing w:after="80" w:afterAutospacing="0" w:beforeAutospacing="0" w:line="288" w:lineRule="auto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8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случајевима када се размена података који представљају Пословну тајну и/или Поверљиве информације између Страна врши путем: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86"/>
        <w:numPr>
          <w:ilvl w:val="0"/>
          <w:numId w:val="3"/>
        </w:numPr>
        <w:pBdr/>
        <w:tabs>
          <w:tab w:val="left" w:leader="none" w:pos="360"/>
        </w:tabs>
        <w:spacing w:after="48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електронске поште или било којим другим електронским средствима, Давалац је обавезан да Примаоца информише о поверљивом садржају размене</w:t>
      </w:r>
      <w:r>
        <w:rPr>
          <w:rFonts w:ascii="Arial" w:hAnsi="Arial" w:cs="Arial"/>
          <w:sz w:val="20"/>
          <w:szCs w:val="20"/>
          <w:lang w:val="sr-Latn-RS"/>
        </w:rPr>
        <w:t xml:space="preserve">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86"/>
        <w:numPr>
          <w:ilvl w:val="0"/>
          <w:numId w:val="3"/>
        </w:numPr>
        <w:pBdr/>
        <w:tabs>
          <w:tab w:val="left" w:leader="none" w:pos="360"/>
        </w:tabs>
        <w:spacing w:after="48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Носача информација (као што су папирни документи, дискови, УСБ медијуми, ЦД или ДВД медијуми), Давалац је обавезан да Носаче информација означи Ознакама </w:t>
      </w:r>
      <w:r>
        <w:rPr>
          <w:rFonts w:ascii="Arial" w:hAnsi="Arial" w:cs="Arial"/>
          <w:sz w:val="20"/>
          <w:szCs w:val="20"/>
          <w:lang w:val="sr-Cyrl-RS"/>
        </w:rPr>
        <w:t xml:space="preserve">поверљивости и на тај начин скрене пажњу на поверљиву природу података садржаних у или на Носачу информација. Ознаке поверљивости стављају се директно на Носач информација и/или на штампани документ који је приложен Примаоцу заједно са Носачем информација.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случају кад је НАФТАГАС -  Технички сервиси д.о.о. Зрењанин Давалац који доставља податке који представљају Пос</w:t>
      </w:r>
      <w:r>
        <w:rPr>
          <w:rFonts w:ascii="Arial" w:hAnsi="Arial" w:cs="Arial"/>
          <w:sz w:val="20"/>
          <w:szCs w:val="20"/>
          <w:lang w:val="sr-Cyrl-RS"/>
        </w:rPr>
        <w:t xml:space="preserve">ловну тајну и/или Поверљиве информације путем електронске поште или било којим другим електронским средствима, у заглавље документа у електронском облику (датотеке), односно на почетак тела поруке електронске поште, смешта се једна од следеће две напомене: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 w:left="720"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 •  „Пословна тајна/Business Secret“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Кад је НАФТАГАС -  Технички сервиси д.о.о. Зрењанин Давалац података који представљају Пословну тајну и/или Поверљиве информације путем Носача информација, примењује следеће Ознаке поверљивости: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1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Пословна тајна</w:t>
      </w:r>
      <w:r>
        <w:rPr>
          <w:rFonts w:cs="Arial"/>
          <w:b/>
          <w:sz w:val="20"/>
          <w:lang w:val="sr-Cyrl-RS"/>
        </w:rPr>
      </w:r>
    </w:p>
    <w:p>
      <w:pPr>
        <w:pStyle w:val="991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НАФТАГАС - Технички сервиси д.о.о. Зрењанин </w:t>
      </w:r>
      <w:r>
        <w:rPr>
          <w:rFonts w:cs="Arial"/>
          <w:b/>
          <w:sz w:val="20"/>
          <w:lang w:val="sr-Cyrl-RS"/>
        </w:rPr>
      </w:r>
    </w:p>
    <w:p>
      <w:pPr>
        <w:pStyle w:val="991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Београдска 26, 23000 Зрењанин</w:t>
      </w:r>
      <w:r>
        <w:rPr>
          <w:rFonts w:cs="Arial"/>
          <w:b/>
          <w:sz w:val="20"/>
          <w:lang w:val="sr-Cyrl-RS"/>
        </w:rPr>
      </w:r>
    </w:p>
    <w:p>
      <w:pPr>
        <w:pStyle w:val="991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</w:r>
      <w:r>
        <w:rPr>
          <w:rFonts w:cs="Arial"/>
          <w:b/>
          <w:sz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случају кад је Комитент Давалац који доставља податке </w:t>
      </w:r>
      <w:r>
        <w:rPr>
          <w:rFonts w:ascii="Arial" w:hAnsi="Arial" w:cs="Arial"/>
          <w:sz w:val="20"/>
          <w:szCs w:val="20"/>
          <w:lang w:val="sr-Cyrl-RS"/>
        </w:rPr>
        <w:t xml:space="preserve">који представљају Пословну тајну и/или Поверљиве информације путем електронске поште или било којим другим електронским средствима, у заглавље документа у електронском облику (датотеке), односно на почетак тела поруке електронске поште, смешта се напомена: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/>
      <w:permStart w:edGrp="everyone" w:id="1306032835"/>
      <w:r>
        <w:rPr>
          <w:rFonts w:ascii="Arial" w:hAnsi="Arial" w:cs="Arial"/>
          <w:sz w:val="20"/>
          <w:szCs w:val="20"/>
          <w:lang w:val="sr-Cyrl-RS"/>
        </w:rPr>
        <w:t xml:space="preserve">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____________________________________________________________________________________</w:t>
      </w:r>
      <w:permEnd w:id="1306032835"/>
      <w:r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Кад је Комитент Давалац података који представљају Пословну тајну и/или Поверљиве информације путем Носача информација, примењују следеће Ознаке поверљивости: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/>
      <w:permStart w:edGrp="everyone" w:id="1626417253"/>
      <w:r>
        <w:rPr>
          <w:rFonts w:ascii="Arial" w:hAnsi="Arial" w:cs="Arial"/>
          <w:sz w:val="20"/>
          <w:szCs w:val="20"/>
          <w:lang w:val="sr-Cyrl-RS"/>
        </w:rPr>
        <w:t xml:space="preserve">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____________________________________________________________________________________</w:t>
      </w:r>
      <w:permEnd w:id="1626417253"/>
      <w:r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Откривање података који представљају Пословну тајну и/или Поверљиве информације усменим путем, врши се уз лично присуство одговор</w:t>
      </w:r>
      <w:r>
        <w:rPr>
          <w:rFonts w:ascii="Arial" w:hAnsi="Arial" w:cs="Arial"/>
          <w:sz w:val="20"/>
          <w:szCs w:val="20"/>
          <w:lang w:val="sr-Cyrl-RS"/>
        </w:rPr>
        <w:t xml:space="preserve">них лица Страна. Страна која открива податке који представљају Пословну тајну и/или Поверљиве информације дужна је да на јасан и недвосмислен начин укаже на поверљиво својство података, приликом њиховог усменог откривања, као и да то записнички констатује.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firstLine="720" w:left="3600"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9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 w:firstLine="720" w:left="3600"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податке који представљају Пословну тајну и/или Поверљиве информације којима су стране имале приступ или су је размениле до тренутка закључења овог Уговора.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</w:t>
      </w:r>
      <w:r>
        <w:rPr>
          <w:rFonts w:ascii="Arial" w:hAnsi="Arial" w:cs="Arial"/>
          <w:sz w:val="20"/>
          <w:szCs w:val="20"/>
          <w:lang w:val="sr-Cyrl-RS"/>
        </w:rPr>
        <w:t xml:space="preserve">дносе се и на податке који представљају Пословну тајну и/или Поверљиве информације Даваоца у смислу овог Уговора, а којима је Прималац имао приступ или је до њих дошао случајно током реализације  Пословних активности ближе описаних чланом 1. овог Уговора.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Сви резултати анализе, закључци, препоруке и други документи које је креирао </w:t>
      </w:r>
      <w:r>
        <w:rPr>
          <w:rFonts w:ascii="Arial" w:hAnsi="Arial" w:cs="Arial"/>
          <w:sz w:val="20"/>
          <w:szCs w:val="20"/>
          <w:lang w:val="sr-Cyrl-RS"/>
        </w:rPr>
        <w:t xml:space="preserve">Прималац на основу података који представљају Пословну тајну и/или Поверљиве информације достављених од стране Даваоца, а у вези са овим уговором,  морају се сматрати Пословном тајном и/или Поверљивом информацијом Даваоца и због тога се Прималац према њима</w:t>
      </w:r>
      <w:r>
        <w:rPr>
          <w:rFonts w:ascii="Arial" w:hAnsi="Arial" w:cs="Arial"/>
          <w:sz w:val="20"/>
          <w:szCs w:val="20"/>
          <w:lang w:val="sr-Cyrl-RS"/>
        </w:rPr>
        <w:t xml:space="preserve"> мора понашати у складу са одредбама овог Уговора и законима Републике Србије. Стране неће обелоданити или на други начин учинити доступним „know-how“ примљен од друге Стране у складу и на основу овог Уговора, без претходне писане сагласности друге стране.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случају размене Података о личности, Стране се обавезују да ће обезбедити њихову поверљивост у складу са меродавним законодавством 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keepNext w:val="true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10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990"/>
        <w:keepNext w:val="true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990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сагласно констатују да Давалац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 има право да од Примаоца захтева надгледање спровођења обавеза утврђених овим Уговором.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Захтев за надгледање спровођења обав</w:t>
      </w:r>
      <w:r>
        <w:rPr>
          <w:rFonts w:ascii="Arial" w:hAnsi="Arial" w:cs="Arial"/>
          <w:sz w:val="20"/>
          <w:szCs w:val="20"/>
          <w:lang w:val="sr-Cyrl-RS"/>
        </w:rPr>
        <w:t xml:space="preserve">еза утврђених овим Уговором, Давалац је дужан да у писменој форми упути Примаоцу 15 (петнаест) дана пре дана одређеног за надгледање. У случају благовременог достављања Захтева, Прималац је дужан да позитивно одговори, док у супротном, може да одбије исти.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Изузетно, у случају постојања објективних околности које су онемогућиле подношење захтева у року дефинисаном претходним ставом, Давалац је дужан да уз захтев приложи писано образложење, а Прималац је у обавези да позитивно одговори, односно захтев уважи.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Надгледање спровођења обавеза из овог Уговора вршиће се искључиво у присуству једног или више лица које овласти Прималац, током радног времена и по правилу, у пословним просторијама Примаоца.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0" w:afterAutospacing="0" w:before="0" w:beforeAutospacing="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 w:line="288" w:lineRule="auto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11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 w:line="288" w:lineRule="auto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Давалац остаје власник достављених подата</w:t>
      </w:r>
      <w:r>
        <w:rPr>
          <w:rFonts w:ascii="Arial" w:hAnsi="Arial" w:cs="Arial"/>
          <w:sz w:val="20"/>
          <w:szCs w:val="20"/>
          <w:lang w:val="sr-Cyrl-RS"/>
        </w:rPr>
        <w:t xml:space="preserve">ка који представљају Пословну тајну и/или Поверљиве информације. Давалац има право да, у било ком моменту, захтева од Примаоца повраћај оригиналних Носача информација који садрже податке који представљају Пословну тајну и/или Поверљиве информације Даваоца.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Најкасније у року од петнаест (15) дана од дана пријема таквог захтева, Прималац је дужан да врати или ун</w:t>
      </w:r>
      <w:r>
        <w:rPr>
          <w:rFonts w:ascii="Arial" w:hAnsi="Arial" w:cs="Arial"/>
          <w:sz w:val="20"/>
          <w:szCs w:val="20"/>
          <w:lang w:val="sr-Cyrl-RS"/>
        </w:rPr>
        <w:t xml:space="preserve">ишти све примљене Носаче информација који садрже податке који представљају Пословну тајну и/или Поверљиве информације, те да врати или уништи све примљене Носаче информација који садрже податке који представљају Пословну тајну и/или Поверљиве информације.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може задржати једну архивску копију, уз крајње рестриктиван приступ овлашћених лица, а ради праћења и испуњења обавеза.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</w:t>
      </w:r>
      <w:r>
        <w:rPr>
          <w:rFonts w:ascii="Arial" w:hAnsi="Arial" w:cs="Arial"/>
          <w:sz w:val="20"/>
          <w:szCs w:val="20"/>
          <w:lang w:val="sr-Cyrl-RS"/>
        </w:rPr>
        <w:t xml:space="preserve">даци који представљају Пословну тајну и/или Поверљиве информације који су смештени на резервним копијама у информационом систему могу бити задржани до уништења према политици резервних копија Примаоца, а само под условом да се до уништења исти не користе.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12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Уколико у току трајања обавеза из овог Уговора, дође до статусних промена код Страна, права и обавезе прелазе на одго</w:t>
      </w:r>
      <w:r>
        <w:rPr>
          <w:rFonts w:ascii="Arial" w:hAnsi="Arial" w:cs="Arial"/>
          <w:sz w:val="20"/>
          <w:szCs w:val="20"/>
          <w:lang w:val="sr-Cyrl-RS"/>
        </w:rPr>
        <w:t xml:space="preserve">варајућег правног следбеника (следбенике). У случају евентуалне ликвидације Примаоца, Прималац је  дужан да до окончања ликвидационог поступка обезбеди повраћај Даваоцу свих оригинала и уништавање свих примерака и облика копија примљених Носача информација</w:t>
      </w:r>
      <w:r>
        <w:rPr>
          <w:rFonts w:ascii="Arial" w:hAnsi="Arial" w:cs="Arial"/>
          <w:sz w:val="20"/>
          <w:szCs w:val="20"/>
          <w:lang w:val="sr-Latn-RS"/>
        </w:rPr>
        <w:t xml:space="preserve">.</w:t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13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сноси одговорност за сваку и сву штету коју претрпи Давалац услед кршења одредби овог Угово</w:t>
      </w:r>
      <w:r>
        <w:rPr>
          <w:rFonts w:ascii="Arial" w:hAnsi="Arial" w:cs="Arial"/>
          <w:sz w:val="20"/>
          <w:szCs w:val="20"/>
          <w:lang w:val="sr-Cyrl-RS"/>
        </w:rPr>
        <w:t xml:space="preserve">ра о поверљивости, као и услед евентуалног откривања података који представљају Пословну тајну и/или Поверљиве информације Даваоца од стране трећег лица коме је Прималац доставио податке који представљају Пословну тајну и/или Поверљиве информације Даваоца.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14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ће настојати да све евентуалне спорове настале из, у вези са, или услед кршења одредби  овог Уговора, регулишу споразумно. Стране су сагласне да у случају ескалације спора, а пре покретања поступка пред надлежним државним органима, орг</w:t>
      </w:r>
      <w:r>
        <w:rPr>
          <w:rFonts w:ascii="Arial" w:hAnsi="Arial" w:cs="Arial"/>
          <w:sz w:val="20"/>
          <w:szCs w:val="20"/>
          <w:lang w:val="sr-Cyrl-RS"/>
        </w:rPr>
        <w:t xml:space="preserve">анизују заједнички састанак о свим чињеницама у вези са спором. Уколико се споразум не постигне у року од 15 ( петнаест) дана од дана када је једна Страна обавестила другу Страну о постојању спорног питања, уговара се стварна надлежност суда у Новом Саду.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15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990"/>
        <w:keepNext w:val="true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16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Закључењем овог Уговора престају да важе сви претходни писани и усмени договори настали током израде овог Уговора о поверљивости, а који се тичу предмета Уговора, ближе дефинисаног чланом 1.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Овај Уговор не обавезује Стране да закључе или да наставе са било којим могућим односом или трансакцијом.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Свака Страна има право да ускрати достављање одређених података који представљају Пословну тајну и/или Поверљиве информације Страни.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17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/>
        <w:ind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На све што није регулисано одредбама овог Уговора, примениће се одредбе позитивноправних прописа Републике Србије  применљивих, с обзиром на предмет Уговора.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/>
        <w:ind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18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990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Овај Уговор се сматра закљученим на дан када су га потписали овлашћени заступници обе Стране, а ако га овлашћени заступници нису потписали на исти дан, Уговор се сматра закљученим на дан другог потписа  по временском редоследу.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Уговор се закључује на одређено време и важи </w:t>
      </w:r>
      <w:permStart w:edGrp="everyone" w:id="617037181"/>
      <w:r>
        <w:rPr>
          <w:rFonts w:ascii="Arial" w:hAnsi="Arial" w:cs="Arial"/>
          <w:sz w:val="20"/>
          <w:szCs w:val="20"/>
          <w:lang w:val="sr-Cyrl-RS"/>
        </w:rPr>
        <w:t xml:space="preserve">_____</w:t>
      </w:r>
      <w:permEnd w:id="617037181"/>
      <w:r>
        <w:rPr>
          <w:rFonts w:ascii="Arial" w:hAnsi="Arial" w:cs="Arial"/>
          <w:sz w:val="20"/>
          <w:szCs w:val="20"/>
          <w:lang w:val="sr-Cyrl-RS"/>
        </w:rPr>
        <w:t xml:space="preserve"> године од дана  закључења.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Обавеза заштите размењених података који представљају Пословну тајну и/или Поверљиве информације  остаје на снази 10 година од момента престанка важења овог Уговора.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19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Овај Уговор је закључен  у два (2) оригинална  примерка на српском језику од којих, по један (1) примерак  задржава свака 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сагласно изјављују да су Уговор прочитале, разумеле и да уговорне одредбе у свему представљају израз њихове стварне воље.</w:t>
      </w:r>
      <w:r>
        <w:rPr>
          <w:rFonts w:ascii="Arial" w:hAnsi="Arial" w:cs="Arial"/>
          <w:sz w:val="20"/>
          <w:szCs w:val="20"/>
          <w:lang w:val="sr-Cyrl-RS"/>
        </w:rPr>
      </w:r>
    </w:p>
    <w:tbl>
      <w:tblPr>
        <w:jc w:val="center"/>
        <w:tblW w:w="11427" w:type="dxa"/>
        <w:tblBorders/>
        <w:tblLook w:val="00A0" w:firstRow="1" w:lastRow="0" w:firstColumn="1" w:lastColumn="0" w:noHBand="0" w:noVBand="0"/>
      </w:tblPr>
      <w:tblGrid>
        <w:gridCol w:w="3970"/>
        <w:gridCol w:w="1560"/>
        <w:gridCol w:w="1560"/>
        <w:gridCol w:w="4337"/>
      </w:tblGrid>
      <w:tr>
        <w:trPr>
          <w:jc w:val="center"/>
        </w:trPr>
        <w:tc>
          <w:tcPr>
            <w:tcBorders/>
            <w:tcW w:w="3970" w:type="dxa"/>
            <w:vAlign w:val="center"/>
            <w:textDirection w:val="lrTb"/>
            <w:noWrap w:val="false"/>
          </w:tcPr>
          <w:p>
            <w:pPr>
              <w:keepNext w:val="true"/>
              <w:pBdr/>
              <w:spacing w:before="100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За Комитента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1560" w:type="dxa"/>
            <w:vAlign w:val="center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992"/>
              <w:keepNext w:val="true"/>
              <w:pBdr/>
              <w:spacing w:before="100"/>
              <w:ind/>
              <w:jc w:val="center"/>
              <w:rPr>
                <w:rFonts w:ascii="Arial" w:hAnsi="Arial" w:cs="Arial"/>
                <w:b/>
                <w:sz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t xml:space="preserve">за</w:t>
            </w:r>
            <w:r>
              <w:rPr>
                <w:rFonts w:ascii="Arial" w:hAnsi="Arial" w:cs="Arial"/>
                <w:b/>
                <w:sz w:val="20"/>
                <w:lang w:val="sr-Cyrl-RS"/>
              </w:rPr>
            </w:r>
          </w:p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sr-Cyrl-RS"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„НАФТАГАС - Технички сервиси“ д.о.о. Зрењанин</w:t>
            </w:r>
            <w:r>
              <w:rPr>
                <w:rFonts w:ascii="Arial" w:hAnsi="Arial" w:cs="Arial"/>
                <w:b/>
                <w:i/>
                <w:sz w:val="20"/>
                <w:szCs w:val="20"/>
                <w:lang w:val="sr-Cyrl-RS" w:eastAsia="en-US"/>
              </w:rPr>
            </w:r>
          </w:p>
        </w:tc>
      </w:tr>
      <w:tr>
        <w:trPr>
          <w:jc w:val="center"/>
        </w:trPr>
        <w:tc>
          <w:tcPr>
            <w:tcBorders>
              <w:bottom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/>
            <w:permStart w:colFirst="0" w:colLast="0" w:edGrp="everyone" w:id="417077439"/>
            <w:r/>
            <w:permStart w:colFirst="1" w:colLast="1" w:edGrp="everyone" w:id="261184534"/>
            <w:r/>
            <w:permStart w:colFirst="2" w:colLast="2" w:edGrp="everyone" w:id="814838058"/>
            <w:r/>
            <w:permStart w:colFirst="3" w:colLast="3" w:edGrp="everyone" w:id="964781684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${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komitent_naziv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}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>
              <w:bottom w:val="single" w:color="auto" w:sz="4" w:space="0"/>
            </w:tcBorders>
            <w:tcW w:w="4337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  <w:p>
            <w:pPr>
              <w:keepNext w:val="true"/>
              <w:pBdr/>
              <w:spacing w:after="120" w:before="100"/>
              <w:ind w:right="414"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</w:tr>
      <w:tr>
        <w:trPr>
          <w:jc w:val="center"/>
          <w:trHeight w:val="148"/>
        </w:trPr>
        <w:tc>
          <w:tcPr>
            <w:tcBorders/>
            <w:tcW w:w="397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/>
            <w:permStart w:colFirst="0" w:colLast="0" w:edGrp="everyone" w:id="2037207208"/>
            <w:r/>
            <w:permStart w:colFirst="1" w:colLast="1" w:edGrp="everyone" w:id="691671658"/>
            <w:r/>
            <w:permStart w:colFirst="2" w:colLast="2" w:edGrp="everyone" w:id="2091404202"/>
            <w:r/>
            <w:permStart w:colFirst="3" w:colLast="3" w:edGrp="everyone" w:id="896533628"/>
            <w:r/>
            <w:permEnd w:id="417077439"/>
            <w:r/>
            <w:permEnd w:id="261184534"/>
            <w:r/>
            <w:permEnd w:id="814838058"/>
            <w:r/>
            <w:permEnd w:id="964781684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bCs/>
                <w:sz w:val="20"/>
                <w:szCs w:val="20"/>
                <w:vertAlign w:val="subscript"/>
                <w:lang w:val="sr-Cyrl-RS"/>
              </w:rPr>
              <w:t xml:space="preserve">својеручни потпис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992"/>
              <w:keepNext w:val="true"/>
              <w:pBdr/>
              <w:spacing/>
              <w:ind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r>
              <w:rPr>
                <w:rFonts w:ascii="Arial" w:hAnsi="Arial" w:cs="Arial"/>
                <w:sz w:val="20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bCs/>
                <w:sz w:val="20"/>
                <w:vertAlign w:val="subscript"/>
                <w:lang w:val="sr-Cyrl-RS"/>
              </w:rPr>
              <w:t xml:space="preserve">својеручни потпис</w:t>
            </w:r>
            <w:r>
              <w:rPr>
                <w:rFonts w:ascii="Arial" w:hAnsi="Arial" w:cs="Arial"/>
                <w:sz w:val="20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r>
          </w:p>
        </w:tc>
      </w:tr>
      <w:tr>
        <w:trPr>
          <w:jc w:val="center"/>
          <w:trHeight w:val="463"/>
        </w:trPr>
        <w:tc>
          <w:tcPr>
            <w:shd w:val="clear" w:color="auto" w:fill="auto"/>
            <w:tcBorders>
              <w:bottom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keepNext w:val="true"/>
              <w:pBdr/>
              <w:spacing w:after="80" w:before="100"/>
              <w:ind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/>
            <w:permStart w:colFirst="0" w:colLast="0" w:edGrp="everyone" w:id="1227512429"/>
            <w:r/>
            <w:permStart w:colFirst="1" w:colLast="1" w:edGrp="everyone" w:id="235671245"/>
            <w:r/>
            <w:permStart w:colFirst="2" w:colLast="2" w:edGrp="everyone" w:id="996150967"/>
            <w:r/>
            <w:permStart w:colFirst="3" w:colLast="3" w:edGrp="everyone" w:id="1257638183"/>
            <w:r/>
            <w:permEnd w:id="2037207208"/>
            <w:r/>
            <w:permEnd w:id="691671658"/>
            <w:r/>
            <w:permEnd w:id="2091404202"/>
            <w:r/>
            <w:permEnd w:id="896533628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</w:t>
            </w:r>
            <w:bookmarkStart w:id="0" w:name="_GoBack"/>
            <w:r/>
            <w:bookmarkEnd w:id="0"/>
            <w:r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shd w:val="clear" w:color="auto" w:fill="auto"/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>
              <w:bottom w:val="single" w:color="auto" w:sz="4" w:space="0"/>
            </w:tcBorders>
            <w:tcW w:w="4337" w:type="dxa"/>
            <w:vAlign w:val="bottom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</w:tr>
      <w:tr>
        <w:trPr>
          <w:jc w:val="center"/>
          <w:trHeight w:val="148"/>
        </w:trPr>
        <w:tc>
          <w:tcPr>
            <w:tcBorders/>
            <w:tcW w:w="397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/>
            <w:permStart w:colFirst="0" w:colLast="0" w:edGrp="everyone" w:id="711001268"/>
            <w:r/>
            <w:permStart w:colFirst="1" w:colLast="1" w:edGrp="everyone" w:id="1825708185"/>
            <w:r/>
            <w:permStart w:colFirst="2" w:colLast="2" w:edGrp="everyone" w:id="90244422"/>
            <w:r/>
            <w:permStart w:colFirst="3" w:colLast="3" w:edGrp="everyone" w:id="1848408998"/>
            <w:r/>
            <w:permEnd w:id="1227512429"/>
            <w:r/>
            <w:permEnd w:id="235671245"/>
            <w:r/>
            <w:permEnd w:id="996150967"/>
            <w:r/>
            <w:permEnd w:id="1257638183"/>
            <w:r>
              <w:rPr>
                <w:rFonts w:ascii="Arial" w:hAnsi="Arial" w:eastAsia="Times New Roman" w:cs="Arial"/>
                <w:sz w:val="20"/>
                <w:szCs w:val="20"/>
                <w:lang w:val="sr-Cyrl-RS"/>
              </w:rPr>
              <w:t xml:space="preserve">${</w:t>
            </w:r>
            <w:r>
              <w:rPr>
                <w:rFonts w:ascii="Arial" w:hAnsi="Arial" w:eastAsia="Times New Roman" w:cs="Arial"/>
                <w:sz w:val="20"/>
                <w:szCs w:val="20"/>
                <w:lang w:val="sr-Cyrl-RS"/>
              </w:rPr>
              <w:t xml:space="preserve">potpisnik_komitent_sve</w:t>
            </w:r>
            <w:r>
              <w:rPr>
                <w:rFonts w:ascii="Arial" w:hAnsi="Arial" w:eastAsia="Times New Roman" w:cs="Arial"/>
                <w:sz w:val="20"/>
                <w:szCs w:val="20"/>
                <w:lang w:val="sr-Cyrl-RS"/>
              </w:rPr>
              <w:t xml:space="preserve">}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992"/>
              <w:keepNext w:val="true"/>
              <w:pBdr/>
              <w:spacing/>
              <w:ind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 xml:space="preserve">${</w:t>
            </w:r>
            <w:r>
              <w:rPr>
                <w:rFonts w:ascii="Arial" w:hAnsi="Arial" w:cs="Arial"/>
                <w:sz w:val="20"/>
                <w:lang w:val="sr-Cyrl-RS"/>
              </w:rPr>
              <w:t xml:space="preserve">potpisnik_nis_sve</w:t>
            </w:r>
            <w:r>
              <w:rPr>
                <w:rFonts w:ascii="Arial" w:hAnsi="Arial" w:cs="Arial"/>
                <w:sz w:val="20"/>
                <w:lang w:val="sr-Cyrl-RS"/>
              </w:rPr>
              <w:t xml:space="preserve">}</w:t>
            </w:r>
            <w:r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>
              <w:bottom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keepNext w:val="true"/>
              <w:pBdr/>
              <w:spacing w:after="80" w:before="100"/>
              <w:ind/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r/>
            <w:permStart w:colFirst="0" w:colLast="0" w:edGrp="everyone" w:id="354905288"/>
            <w:r/>
            <w:permStart w:colFirst="1" w:colLast="1" w:edGrp="everyone" w:id="762257357"/>
            <w:r/>
            <w:permStart w:colFirst="2" w:colLast="2" w:edGrp="everyone" w:id="2050241375"/>
            <w:r/>
            <w:permStart w:colFirst="3" w:colLast="3" w:edGrp="everyone" w:id="1415609654"/>
            <w:r/>
            <w:permEnd w:id="711001268"/>
            <w:r/>
            <w:permEnd w:id="1825708185"/>
            <w:r/>
            <w:permEnd w:id="90244422"/>
            <w:r/>
            <w:permEnd w:id="1848408998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>
              <w:bottom w:val="single" w:color="auto" w:sz="4" w:space="0"/>
            </w:tcBorders>
            <w:tcW w:w="4337" w:type="dxa"/>
            <w:textDirection w:val="lrTb"/>
            <w:noWrap w:val="false"/>
          </w:tcPr>
          <w:p>
            <w:pPr>
              <w:keepNext w:val="true"/>
              <w:pBdr/>
              <w:spacing w:after="80" w:before="100"/>
              <w:ind/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</w:r>
          </w:p>
        </w:tc>
      </w:tr>
      <w:tr>
        <w:trPr>
          <w:jc w:val="center"/>
          <w:trHeight w:val="148"/>
        </w:trPr>
        <w:tc>
          <w:tcPr>
            <w:tcBorders/>
            <w:tcW w:w="397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/>
            <w:permStart w:colFirst="0" w:colLast="0" w:edGrp="everyone" w:id="584135006"/>
            <w:r/>
            <w:permStart w:colFirst="1" w:colLast="1" w:edGrp="everyone" w:id="1844669803"/>
            <w:r/>
            <w:permStart w:colFirst="2" w:colLast="2" w:edGrp="everyone" w:id="444678235"/>
            <w:r/>
            <w:permStart w:colFirst="3" w:colLast="3" w:edGrp="everyone" w:id="1984592997"/>
            <w:r/>
            <w:permEnd w:id="354905288"/>
            <w:r/>
            <w:permEnd w:id="762257357"/>
            <w:r/>
            <w:permEnd w:id="2050241375"/>
            <w:r/>
            <w:permEnd w:id="1415609654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sz w:val="20"/>
                <w:szCs w:val="20"/>
                <w:vertAlign w:val="subscript"/>
                <w:lang w:val="sr-Cyrl-RS"/>
              </w:rPr>
              <w:t xml:space="preserve">датум потписа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992"/>
              <w:pBdr/>
              <w:spacing/>
              <w:ind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r>
              <w:rPr>
                <w:rFonts w:ascii="Arial" w:hAnsi="Arial" w:cs="Arial"/>
                <w:sz w:val="20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sz w:val="20"/>
                <w:vertAlign w:val="subscript"/>
                <w:lang w:val="sr-Cyrl-RS"/>
              </w:rPr>
              <w:t xml:space="preserve">датум потписа</w:t>
            </w:r>
            <w:r>
              <w:rPr>
                <w:rFonts w:ascii="Arial" w:hAnsi="Arial" w:cs="Arial"/>
                <w:sz w:val="20"/>
                <w:lang w:val="sr-Cyrl-RS" w:eastAsia="sr-Latn-CS"/>
              </w:rPr>
              <w:t xml:space="preserve">]</w:t>
            </w:r>
            <w:permEnd w:id="584135006"/>
            <w:r/>
            <w:permEnd w:id="1844669803"/>
            <w:r/>
            <w:permEnd w:id="444678235"/>
            <w:r/>
            <w:permEnd w:id="1984592997"/>
            <w:r/>
            <w:r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r>
          </w:p>
        </w:tc>
      </w:tr>
    </w:tbl>
    <w:p>
      <w:pPr>
        <w:pBdr/>
        <w:spacing/>
        <w:ind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sectPr>
      <w:headerReference w:type="first" r:id="rId9"/>
      <w:footerReference w:type="default" r:id="rId10"/>
      <w:footerReference w:type="first" r:id="rId11"/>
      <w:footnotePr/>
      <w:endnotePr/>
      <w:type w:val="nextPage"/>
      <w:pgSz w:h="15840" w:orient="portrait" w:w="12240"/>
      <w:pgMar w:top="1440" w:right="1440" w:bottom="1276" w:left="1440" w:header="708" w:footer="708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MS Mincho">
    <w:panose1 w:val="02020603050405090304"/>
  </w:font>
  <w:font w:name="Calibri">
    <w:panose1 w:val="020F0502020204030204"/>
  </w:font>
  <w:font w:name="Consultant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4"/>
      <w:pBdr/>
      <w:spacing w:after="120" w:before="120"/>
      <w:ind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 xml:space="preserve">ТФУ-ТХС-25, верзија 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-1739552277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7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984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4"/>
      <w:pBdr/>
      <w:spacing w:after="120" w:before="120"/>
      <w:ind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 xml:space="preserve">ТФУ-ТХС-25, верзија 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632678948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984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Borders/>
      <w:tblLook w:val="04A0" w:firstRow="1" w:lastRow="0" w:firstColumn="1" w:lastColumn="0" w:noHBand="0" w:noVBand="1"/>
    </w:tblPr>
    <w:tblGrid>
      <w:gridCol w:w="7233"/>
      <w:gridCol w:w="2127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 w:line="276" w:lineRule="auto"/>
            <w:ind/>
            <w:rPr>
              <w:rFonts w:ascii="Arial" w:hAnsi="Arial" w:cs="Arial"/>
              <w:sz w:val="16"/>
              <w:szCs w:val="16"/>
            </w:rPr>
          </w:pPr>
          <w:r>
            <w:rPr>
              <w:lang w:val="sr-Latn-RS" w:eastAsia="sr-Latn-RS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344378" cy="657225"/>
                    <wp:effectExtent l="0" t="0" r="8255" b="0"/>
                    <wp:docPr id="1" name="Picture 1" descr="R:\REF THS Transformacija\12 - Šabloni i logo\Logo\Novi logotipi\NAFTAGAS TEHNICKI SERVISI cir hor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R:\REF THS Transformacija\12 - Šabloni i logo\Logo\Novi logotipi\NAFTAGAS TEHNICKI SERVISI cir hor.pn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412883" cy="6907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05.86pt;height:51.75pt;mso-wrap-distance-left:0.00pt;mso-wrap-distance-top:0.00pt;mso-wrap-distance-right:0.00pt;mso-wrap-distance-bottom:0.00pt;z-index:1;" stroked="f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cs="Arial"/>
              <w:sz w:val="16"/>
              <w:szCs w:val="16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cs="Arial"/>
              <w:i/>
              <w:sz w:val="20"/>
              <w:szCs w:val="16"/>
            </w:rPr>
          </w:pPr>
          <w:r>
            <w:rPr>
              <w:rFonts w:ascii="Arial" w:hAnsi="Arial" w:cs="Arial"/>
              <w:i/>
              <w:sz w:val="20"/>
              <w:szCs w:val="16"/>
            </w:rPr>
            <w:t xml:space="preserve">Типска форма</w:t>
          </w:r>
          <w:r>
            <w:rPr>
              <w:rFonts w:ascii="Arial" w:hAnsi="Arial" w:cs="Arial"/>
              <w:i/>
              <w:sz w:val="20"/>
              <w:szCs w:val="16"/>
            </w:rPr>
          </w:r>
        </w:p>
      </w:tc>
    </w:tr>
  </w:tbl>
  <w:p>
    <w:pPr>
      <w:pStyle w:val="982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7966FF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">
    <w:nsid w:val="629D5A3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">
    <w:nsid w:val="72D810D6"/>
    <w:lvl w:ilvl="0">
      <w:isLgl w:val="false"/>
      <w:lvlJc w:val="left"/>
      <w:lvlText w:val="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3">
    <w:nsid w:val="78EC3D09"/>
    <w:lvl w:ilvl="0">
      <w:isLgl w:val="false"/>
      <w:lvlJc w:val="left"/>
      <w:lvlText w:val="-"/>
      <w:numFmt w:val="bullet"/>
      <w:pPr>
        <w:pBdr/>
        <w:spacing/>
        <w:ind w:hanging="360" w:left="1428"/>
      </w:pPr>
      <w:rPr>
        <w:rFonts w:hint="default" w:ascii="Arial" w:hAnsi="Arial" w:eastAsia="Calibri" w:cs="Arial"/>
      </w:rPr>
      <w:start w:val="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8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8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8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8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8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8"/>
      </w:pPr>
      <w:rPr>
        <w:rFonts w:hint="default" w:ascii="Wingdings" w:hAnsi="Wingdings"/>
      </w:rPr>
      <w:start w:val="1"/>
      <w:suff w:val="tab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MvHuM+/g5QhMz/jzGstdkcSNRYzGq3X7OvIWYh+IeM+jrgBAJMCC/SbZ8Yi+KTBLWR6Wgx3bUfxP6u+MJDRMjw==" w:salt="gxQvWgK25BQG+KKFfu4z9w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798" w:default="1">
    <w:name w:val="Normal"/>
    <w:qFormat/>
    <w:pPr>
      <w:pBdr/>
      <w:spacing w:after="0" w:line="240" w:lineRule="auto"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799">
    <w:name w:val="Heading 1"/>
    <w:basedOn w:val="798"/>
    <w:next w:val="798"/>
    <w:link w:val="9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paragraph" w:styleId="800">
    <w:name w:val="Heading 2"/>
    <w:basedOn w:val="798"/>
    <w:next w:val="798"/>
    <w:link w:val="9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paragraph" w:styleId="801">
    <w:name w:val="Heading 3"/>
    <w:basedOn w:val="798"/>
    <w:next w:val="798"/>
    <w:link w:val="9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paragraph" w:styleId="802">
    <w:name w:val="Heading 4"/>
    <w:basedOn w:val="798"/>
    <w:next w:val="798"/>
    <w:link w:val="9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803">
    <w:name w:val="Heading 5"/>
    <w:basedOn w:val="798"/>
    <w:next w:val="798"/>
    <w:link w:val="9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e74b5" w:themeColor="accent1" w:themeShade="BF"/>
    </w:rPr>
  </w:style>
  <w:style w:type="paragraph" w:styleId="804">
    <w:name w:val="Heading 6"/>
    <w:basedOn w:val="798"/>
    <w:next w:val="798"/>
    <w:link w:val="94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05">
    <w:name w:val="Heading 7"/>
    <w:basedOn w:val="798"/>
    <w:next w:val="798"/>
    <w:link w:val="94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06">
    <w:name w:val="Heading 8"/>
    <w:basedOn w:val="798"/>
    <w:next w:val="798"/>
    <w:link w:val="94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07">
    <w:name w:val="Heading 9"/>
    <w:basedOn w:val="798"/>
    <w:next w:val="798"/>
    <w:link w:val="94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08" w:default="1">
    <w:name w:val="Default Paragraph Font"/>
    <w:uiPriority w:val="1"/>
    <w:semiHidden/>
    <w:unhideWhenUsed/>
    <w:pPr>
      <w:pBdr/>
      <w:spacing/>
      <w:ind/>
    </w:pPr>
  </w:style>
  <w:style w:type="table" w:styleId="80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10" w:default="1">
    <w:name w:val="No List"/>
    <w:uiPriority w:val="99"/>
    <w:semiHidden/>
    <w:unhideWhenUsed/>
    <w:pPr>
      <w:pBdr/>
      <w:spacing/>
      <w:ind/>
    </w:pPr>
  </w:style>
  <w:style w:type="table" w:styleId="811">
    <w:name w:val="Table Grid"/>
    <w:basedOn w:val="809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Light"/>
    <w:basedOn w:val="80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Plain Table 1"/>
    <w:basedOn w:val="80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Plain Table 2"/>
    <w:basedOn w:val="809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Plain Table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Plain Table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Plain Table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1 Light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1 Light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1 Light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1 Light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1 Light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1 Light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1 Light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2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2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2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2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2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2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3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3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3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3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3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3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4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4 Accent 1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4 Accent 2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4 Accent 3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4 Accent 4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4 Accent 5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4 Accent 6"/>
    <w:basedOn w:val="80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5 Dark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Grid Table 5 Dark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5 Dark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5 Dark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Grid Table 5 Dark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5 Dark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5 Dark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6 Colorful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6 Colorful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6 Colorful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6 Colorful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6 Colorful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6 Colorful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6 Colorful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7 Colorful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7 Colorful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7 Colorful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7 Colorful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7 Colorful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7 Colorful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7 Colorful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1 Light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1 Light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1 Light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1 Light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1 Light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1 Light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1 Light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2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2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2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2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2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2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3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3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3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3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3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3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4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4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4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4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4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4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5 Dark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5 Dark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5 Dark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5 Dark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5 Dark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5 Dark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5 Dark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6 Colorful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6 Colorful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6 Colorful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6 Colorful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6 Colorful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6 Colorful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6 Colorful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7 Colorful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7 Colorful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7 Colorful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7 Colorful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7 Colorful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7 Colorful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7 Colorful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Lined - Accent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Lined - Accent 1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Lined - Accent 2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Lined - Accent 3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Lined - Accent 4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Lined - Accent 5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Lined - Accent 6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Bordered &amp; Lined - Accent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Bordered &amp; Lined - Accent 1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Bordered &amp; Lined - Accent 2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Bordered &amp; Lined - Accent 3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Bordered &amp; Lined - Accent 4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 w:customStyle="1">
    <w:name w:val="Bordered &amp; Lined - Accent 5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Bordered &amp; Lined - Accent 6"/>
    <w:basedOn w:val="80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Bordered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Bordered - Accent 1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Bordered - Accent 2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 w:customStyle="1">
    <w:name w:val="Bordered - Accent 3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 w:customStyle="1">
    <w:name w:val="Bordered - Accent 4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 w:customStyle="1">
    <w:name w:val="Bordered - Accent 5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 w:customStyle="1">
    <w:name w:val="Bordered - Accent 6"/>
    <w:basedOn w:val="80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37" w:customStyle="1">
    <w:name w:val="Heading 1 Char"/>
    <w:basedOn w:val="808"/>
    <w:link w:val="799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938" w:customStyle="1">
    <w:name w:val="Heading 2 Char"/>
    <w:basedOn w:val="808"/>
    <w:link w:val="800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939" w:customStyle="1">
    <w:name w:val="Heading 3 Char"/>
    <w:basedOn w:val="808"/>
    <w:link w:val="801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940" w:customStyle="1">
    <w:name w:val="Heading 4 Char"/>
    <w:basedOn w:val="808"/>
    <w:link w:val="802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941" w:customStyle="1">
    <w:name w:val="Heading 5 Char"/>
    <w:basedOn w:val="808"/>
    <w:link w:val="803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942" w:customStyle="1">
    <w:name w:val="Heading 6 Char"/>
    <w:basedOn w:val="808"/>
    <w:link w:val="80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43" w:customStyle="1">
    <w:name w:val="Heading 7 Char"/>
    <w:basedOn w:val="808"/>
    <w:link w:val="80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44" w:customStyle="1">
    <w:name w:val="Heading 8 Char"/>
    <w:basedOn w:val="808"/>
    <w:link w:val="80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45" w:customStyle="1">
    <w:name w:val="Heading 9 Char"/>
    <w:basedOn w:val="808"/>
    <w:link w:val="80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46">
    <w:name w:val="Title"/>
    <w:basedOn w:val="798"/>
    <w:next w:val="798"/>
    <w:link w:val="94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47" w:customStyle="1">
    <w:name w:val="Title Char"/>
    <w:basedOn w:val="808"/>
    <w:link w:val="9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48">
    <w:name w:val="Subtitle"/>
    <w:basedOn w:val="798"/>
    <w:next w:val="798"/>
    <w:link w:val="9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49" w:customStyle="1">
    <w:name w:val="Subtitle Char"/>
    <w:basedOn w:val="808"/>
    <w:link w:val="9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50">
    <w:name w:val="Quote"/>
    <w:basedOn w:val="798"/>
    <w:next w:val="798"/>
    <w:link w:val="9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51" w:customStyle="1">
    <w:name w:val="Quote Char"/>
    <w:basedOn w:val="808"/>
    <w:link w:val="9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52">
    <w:name w:val="Intense Emphasis"/>
    <w:basedOn w:val="808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953">
    <w:name w:val="Intense Quote"/>
    <w:basedOn w:val="798"/>
    <w:next w:val="798"/>
    <w:link w:val="954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954" w:customStyle="1">
    <w:name w:val="Intense Quote Char"/>
    <w:basedOn w:val="808"/>
    <w:link w:val="953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955">
    <w:name w:val="Intense Reference"/>
    <w:basedOn w:val="808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character" w:styleId="956">
    <w:name w:val="Subtle Emphasis"/>
    <w:basedOn w:val="80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57">
    <w:name w:val="Emphasis"/>
    <w:basedOn w:val="808"/>
    <w:uiPriority w:val="20"/>
    <w:qFormat/>
    <w:pPr>
      <w:pBdr/>
      <w:spacing/>
      <w:ind/>
    </w:pPr>
    <w:rPr>
      <w:i/>
      <w:iCs/>
    </w:rPr>
  </w:style>
  <w:style w:type="character" w:styleId="958">
    <w:name w:val="Strong"/>
    <w:basedOn w:val="808"/>
    <w:uiPriority w:val="22"/>
    <w:qFormat/>
    <w:pPr>
      <w:pBdr/>
      <w:spacing/>
      <w:ind/>
    </w:pPr>
    <w:rPr>
      <w:b/>
      <w:bCs/>
    </w:rPr>
  </w:style>
  <w:style w:type="character" w:styleId="959">
    <w:name w:val="Subtle Reference"/>
    <w:basedOn w:val="80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60">
    <w:name w:val="Book Title"/>
    <w:basedOn w:val="80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61">
    <w:name w:val="Caption"/>
    <w:basedOn w:val="798"/>
    <w:next w:val="798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paragraph" w:styleId="962">
    <w:name w:val="footnote text"/>
    <w:basedOn w:val="798"/>
    <w:link w:val="963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963" w:customStyle="1">
    <w:name w:val="Footnote Text Char"/>
    <w:basedOn w:val="808"/>
    <w:link w:val="962"/>
    <w:uiPriority w:val="99"/>
    <w:semiHidden/>
    <w:pPr>
      <w:pBdr/>
      <w:spacing/>
      <w:ind/>
    </w:pPr>
    <w:rPr>
      <w:sz w:val="20"/>
      <w:szCs w:val="20"/>
    </w:rPr>
  </w:style>
  <w:style w:type="character" w:styleId="964">
    <w:name w:val="footnote reference"/>
    <w:basedOn w:val="808"/>
    <w:uiPriority w:val="99"/>
    <w:semiHidden/>
    <w:unhideWhenUsed/>
    <w:pPr>
      <w:pBdr/>
      <w:spacing/>
      <w:ind/>
    </w:pPr>
    <w:rPr>
      <w:vertAlign w:val="superscript"/>
    </w:rPr>
  </w:style>
  <w:style w:type="paragraph" w:styleId="965">
    <w:name w:val="endnote text"/>
    <w:basedOn w:val="798"/>
    <w:link w:val="966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966" w:customStyle="1">
    <w:name w:val="Endnote Text Char"/>
    <w:basedOn w:val="808"/>
    <w:link w:val="965"/>
    <w:uiPriority w:val="99"/>
    <w:semiHidden/>
    <w:pPr>
      <w:pBdr/>
      <w:spacing/>
      <w:ind/>
    </w:pPr>
    <w:rPr>
      <w:sz w:val="20"/>
      <w:szCs w:val="20"/>
    </w:rPr>
  </w:style>
  <w:style w:type="character" w:styleId="967">
    <w:name w:val="endnote reference"/>
    <w:basedOn w:val="808"/>
    <w:uiPriority w:val="99"/>
    <w:semiHidden/>
    <w:unhideWhenUsed/>
    <w:pPr>
      <w:pBdr/>
      <w:spacing/>
      <w:ind/>
    </w:pPr>
    <w:rPr>
      <w:vertAlign w:val="superscript"/>
    </w:rPr>
  </w:style>
  <w:style w:type="character" w:styleId="968">
    <w:name w:val="Hyperlink"/>
    <w:basedOn w:val="80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69">
    <w:name w:val="FollowedHyperlink"/>
    <w:basedOn w:val="80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70">
    <w:name w:val="toc 1"/>
    <w:basedOn w:val="798"/>
    <w:next w:val="798"/>
    <w:uiPriority w:val="39"/>
    <w:unhideWhenUsed/>
    <w:pPr>
      <w:pBdr/>
      <w:spacing w:after="100"/>
      <w:ind/>
    </w:pPr>
  </w:style>
  <w:style w:type="paragraph" w:styleId="971">
    <w:name w:val="toc 2"/>
    <w:basedOn w:val="798"/>
    <w:next w:val="798"/>
    <w:uiPriority w:val="39"/>
    <w:unhideWhenUsed/>
    <w:pPr>
      <w:pBdr/>
      <w:spacing w:after="100"/>
      <w:ind w:left="220"/>
    </w:pPr>
  </w:style>
  <w:style w:type="paragraph" w:styleId="972">
    <w:name w:val="toc 3"/>
    <w:basedOn w:val="798"/>
    <w:next w:val="798"/>
    <w:uiPriority w:val="39"/>
    <w:unhideWhenUsed/>
    <w:pPr>
      <w:pBdr/>
      <w:spacing w:after="100"/>
      <w:ind w:left="440"/>
    </w:pPr>
  </w:style>
  <w:style w:type="paragraph" w:styleId="973">
    <w:name w:val="toc 4"/>
    <w:basedOn w:val="798"/>
    <w:next w:val="798"/>
    <w:uiPriority w:val="39"/>
    <w:unhideWhenUsed/>
    <w:pPr>
      <w:pBdr/>
      <w:spacing w:after="100"/>
      <w:ind w:left="660"/>
    </w:pPr>
  </w:style>
  <w:style w:type="paragraph" w:styleId="974">
    <w:name w:val="toc 5"/>
    <w:basedOn w:val="798"/>
    <w:next w:val="798"/>
    <w:uiPriority w:val="39"/>
    <w:unhideWhenUsed/>
    <w:pPr>
      <w:pBdr/>
      <w:spacing w:after="100"/>
      <w:ind w:left="880"/>
    </w:pPr>
  </w:style>
  <w:style w:type="paragraph" w:styleId="975">
    <w:name w:val="toc 6"/>
    <w:basedOn w:val="798"/>
    <w:next w:val="798"/>
    <w:uiPriority w:val="39"/>
    <w:unhideWhenUsed/>
    <w:pPr>
      <w:pBdr/>
      <w:spacing w:after="100"/>
      <w:ind w:left="1100"/>
    </w:pPr>
  </w:style>
  <w:style w:type="paragraph" w:styleId="976">
    <w:name w:val="toc 7"/>
    <w:basedOn w:val="798"/>
    <w:next w:val="798"/>
    <w:uiPriority w:val="39"/>
    <w:unhideWhenUsed/>
    <w:pPr>
      <w:pBdr/>
      <w:spacing w:after="100"/>
      <w:ind w:left="1320"/>
    </w:pPr>
  </w:style>
  <w:style w:type="paragraph" w:styleId="977">
    <w:name w:val="toc 8"/>
    <w:basedOn w:val="798"/>
    <w:next w:val="798"/>
    <w:uiPriority w:val="39"/>
    <w:unhideWhenUsed/>
    <w:pPr>
      <w:pBdr/>
      <w:spacing w:after="100"/>
      <w:ind w:left="1540"/>
    </w:pPr>
  </w:style>
  <w:style w:type="paragraph" w:styleId="978">
    <w:name w:val="toc 9"/>
    <w:basedOn w:val="798"/>
    <w:next w:val="798"/>
    <w:uiPriority w:val="39"/>
    <w:unhideWhenUsed/>
    <w:pPr>
      <w:pBdr/>
      <w:spacing w:after="100"/>
      <w:ind w:left="1760"/>
    </w:pPr>
  </w:style>
  <w:style w:type="character" w:styleId="979">
    <w:name w:val="Placeholder Text"/>
    <w:basedOn w:val="808"/>
    <w:uiPriority w:val="99"/>
    <w:semiHidden/>
    <w:pPr>
      <w:pBdr/>
      <w:spacing/>
      <w:ind/>
    </w:pPr>
    <w:rPr>
      <w:color w:val="666666"/>
    </w:rPr>
  </w:style>
  <w:style w:type="paragraph" w:styleId="980">
    <w:name w:val="TOC Heading"/>
    <w:uiPriority w:val="39"/>
    <w:unhideWhenUsed/>
    <w:pPr>
      <w:pBdr/>
      <w:spacing/>
      <w:ind/>
    </w:pPr>
  </w:style>
  <w:style w:type="paragraph" w:styleId="981">
    <w:name w:val="table of figures"/>
    <w:basedOn w:val="798"/>
    <w:next w:val="798"/>
    <w:uiPriority w:val="99"/>
    <w:unhideWhenUsed/>
    <w:pPr>
      <w:pBdr/>
      <w:spacing/>
      <w:ind/>
    </w:pPr>
  </w:style>
  <w:style w:type="paragraph" w:styleId="982">
    <w:name w:val="Header"/>
    <w:basedOn w:val="798"/>
    <w:link w:val="983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983" w:customStyle="1">
    <w:name w:val="Header Char"/>
    <w:basedOn w:val="808"/>
    <w:link w:val="982"/>
    <w:uiPriority w:val="99"/>
    <w:pPr>
      <w:pBdr/>
      <w:spacing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984">
    <w:name w:val="Footer"/>
    <w:basedOn w:val="798"/>
    <w:link w:val="985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985" w:customStyle="1">
    <w:name w:val="Footer Char"/>
    <w:basedOn w:val="808"/>
    <w:link w:val="984"/>
    <w:uiPriority w:val="99"/>
    <w:pPr>
      <w:pBdr/>
      <w:spacing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986">
    <w:name w:val="List Paragraph"/>
    <w:basedOn w:val="798"/>
    <w:uiPriority w:val="34"/>
    <w:qFormat/>
    <w:pPr>
      <w:pBdr/>
      <w:spacing/>
      <w:ind w:left="720"/>
      <w:contextualSpacing w:val="true"/>
    </w:pPr>
  </w:style>
  <w:style w:type="paragraph" w:styleId="987">
    <w:name w:val="No Spacing"/>
    <w:basedOn w:val="798"/>
    <w:link w:val="988"/>
    <w:uiPriority w:val="1"/>
    <w:qFormat/>
    <w:pPr>
      <w:pBdr/>
      <w:spacing/>
      <w:ind/>
    </w:pPr>
  </w:style>
  <w:style w:type="character" w:styleId="988" w:customStyle="1">
    <w:name w:val="No Spacing Char"/>
    <w:basedOn w:val="808"/>
    <w:link w:val="987"/>
    <w:uiPriority w:val="1"/>
    <w:pPr>
      <w:pBdr/>
      <w:spacing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989" w:customStyle="1">
    <w:name w:val="Heading"/>
    <w:pPr>
      <w:pBdr/>
      <w:spacing w:after="0" w:line="240" w:lineRule="auto"/>
      <w:ind/>
    </w:pPr>
    <w:rPr>
      <w:rFonts w:ascii="Consultant" w:hAnsi="Consultant" w:eastAsia="Calibri" w:cs="Consultant"/>
      <w:b/>
      <w:bCs/>
      <w:lang w:val="ru-RU" w:eastAsia="ru-RU"/>
    </w:rPr>
  </w:style>
  <w:style w:type="paragraph" w:styleId="990" w:customStyle="1">
    <w:name w:val="normal1"/>
    <w:basedOn w:val="798"/>
    <w:pPr>
      <w:pBdr/>
      <w:spacing w:after="100" w:afterAutospacing="1" w:before="100" w:beforeAutospacing="1"/>
      <w:ind/>
    </w:pPr>
    <w:rPr>
      <w:rFonts w:eastAsia="MS Mincho"/>
      <w:lang w:val="en-US" w:eastAsia="ja-JP"/>
    </w:rPr>
  </w:style>
  <w:style w:type="paragraph" w:styleId="991" w:customStyle="1">
    <w:name w:val="Normal1"/>
    <w:pPr>
      <w:widowControl w:val="false"/>
      <w:pBdr/>
      <w:spacing w:after="0" w:line="260" w:lineRule="auto"/>
      <w:ind w:firstLine="500"/>
    </w:pPr>
    <w:rPr>
      <w:rFonts w:ascii="Arial" w:hAnsi="Arial" w:eastAsia="Times New Roman" w:cs="Times New Roman"/>
      <w:szCs w:val="20"/>
      <w:lang w:val="ru-RU" w:eastAsia="ru-RU"/>
    </w:rPr>
  </w:style>
  <w:style w:type="paragraph" w:styleId="992">
    <w:name w:val="Body Text"/>
    <w:basedOn w:val="798"/>
    <w:link w:val="993"/>
    <w:pPr>
      <w:pBdr/>
      <w:spacing/>
      <w:ind/>
      <w:jc w:val="both"/>
    </w:pPr>
    <w:rPr>
      <w:rFonts w:eastAsia="Times New Roman"/>
      <w:sz w:val="22"/>
      <w:szCs w:val="20"/>
    </w:rPr>
  </w:style>
  <w:style w:type="character" w:styleId="993" w:customStyle="1">
    <w:name w:val="Body Text Char"/>
    <w:basedOn w:val="808"/>
    <w:link w:val="992"/>
    <w:pPr>
      <w:pBdr/>
      <w:spacing/>
      <w:ind/>
    </w:pPr>
    <w:rPr>
      <w:rFonts w:ascii="Times New Roman" w:hAnsi="Times New Roman" w:eastAsia="Times New Roman" w:cs="Times New Roman"/>
      <w:szCs w:val="20"/>
      <w:lang w:val="ru-RU" w:eastAsia="ru-RU"/>
    </w:rPr>
  </w:style>
  <w:style w:type="character" w:styleId="994">
    <w:name w:val="annotation reference"/>
    <w:basedOn w:val="808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995">
    <w:name w:val="annotation text"/>
    <w:basedOn w:val="798"/>
    <w:link w:val="996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996" w:customStyle="1">
    <w:name w:val="Comment Text Char"/>
    <w:basedOn w:val="808"/>
    <w:link w:val="995"/>
    <w:uiPriority w:val="99"/>
    <w:semiHidden/>
    <w:pPr>
      <w:pBdr/>
      <w:spacing/>
      <w:ind/>
    </w:pPr>
    <w:rPr>
      <w:rFonts w:ascii="Times New Roman" w:hAnsi="Times New Roman" w:eastAsia="Calibri" w:cs="Times New Roman"/>
      <w:sz w:val="20"/>
      <w:szCs w:val="20"/>
      <w:lang w:val="ru-RU" w:eastAsia="ru-RU"/>
    </w:rPr>
  </w:style>
  <w:style w:type="paragraph" w:styleId="997">
    <w:name w:val="annotation subject"/>
    <w:basedOn w:val="995"/>
    <w:next w:val="995"/>
    <w:link w:val="998"/>
    <w:uiPriority w:val="99"/>
    <w:semiHidden/>
    <w:unhideWhenUsed/>
    <w:pPr>
      <w:pBdr/>
      <w:spacing/>
      <w:ind/>
    </w:pPr>
    <w:rPr>
      <w:b/>
      <w:bCs/>
    </w:rPr>
  </w:style>
  <w:style w:type="character" w:styleId="998" w:customStyle="1">
    <w:name w:val="Comment Subject Char"/>
    <w:basedOn w:val="996"/>
    <w:link w:val="997"/>
    <w:uiPriority w:val="99"/>
    <w:semiHidden/>
    <w:pPr>
      <w:pBdr/>
      <w:spacing/>
      <w:ind/>
    </w:pPr>
    <w:rPr>
      <w:rFonts w:ascii="Times New Roman" w:hAnsi="Times New Roman" w:eastAsia="Calibri" w:cs="Times New Roman"/>
      <w:b/>
      <w:bCs/>
      <w:sz w:val="20"/>
      <w:szCs w:val="20"/>
      <w:lang w:val="ru-RU" w:eastAsia="ru-RU"/>
    </w:rPr>
  </w:style>
  <w:style w:type="paragraph" w:styleId="999">
    <w:name w:val="Balloon Text"/>
    <w:basedOn w:val="798"/>
    <w:link w:val="100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1000" w:customStyle="1">
    <w:name w:val="Balloon Text Char"/>
    <w:basedOn w:val="808"/>
    <w:link w:val="999"/>
    <w:uiPriority w:val="99"/>
    <w:semiHidden/>
    <w:pPr>
      <w:pBdr/>
      <w:spacing/>
      <w:ind/>
    </w:pPr>
    <w:rPr>
      <w:rFonts w:ascii="Segoe UI" w:hAnsi="Segoe UI" w:eastAsia="Calibri" w:cs="Segoe UI"/>
      <w:sz w:val="18"/>
      <w:szCs w:val="18"/>
      <w:lang w:val="ru-RU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D. Milosev</dc:creator>
  <cp:keywords>Klasifikacija: За интерну употребу/Restricted</cp:keywords>
  <dc:description/>
  <cp:lastModifiedBy>G1 Dragana Tomić</cp:lastModifiedBy>
  <cp:revision>6</cp:revision>
  <dcterms:created xsi:type="dcterms:W3CDTF">2026-02-02T12:22:00Z</dcterms:created>
  <dcterms:modified xsi:type="dcterms:W3CDTF">2026-05-06T11:13:47Z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78922df6-7389-4610-9829-536a8308d157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